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AA6143">
      <w:pPr>
        <w:jc w:val="center"/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b/>
          <w:bCs/>
          <w:sz w:val="32"/>
          <w:szCs w:val="32"/>
          <w:lang w:val="en-US" w:eastAsia="zh-CN"/>
        </w:rPr>
        <w:t>IECQ 产品碳足迹核查业务范围</w:t>
      </w:r>
    </w:p>
    <w:bookmarkEnd w:id="0"/>
    <w:p w14:paraId="7EE16326">
      <w:p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</w:p>
    <w:p w14:paraId="5897424A">
      <w:p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>电子电气产品及系统</w:t>
      </w:r>
    </w:p>
    <w:p w14:paraId="4A0ED7B9">
      <w:pPr>
        <w:rPr>
          <w:rFonts w:hint="default" w:ascii="Times New Roman" w:hAnsi="Times New Roman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sz w:val="32"/>
          <w:szCs w:val="32"/>
          <w:lang w:val="en-US" w:eastAsia="zh-CN"/>
        </w:rPr>
        <w:t xml:space="preserve">electric and electronic products and systems  </w:t>
      </w:r>
    </w:p>
    <w:p w14:paraId="24903E6B">
      <w:pPr>
        <w:rPr>
          <w:rFonts w:hint="default"/>
          <w:sz w:val="28"/>
          <w:szCs w:val="28"/>
          <w:lang w:val="en-US" w:eastAsia="zh-CN"/>
        </w:rPr>
      </w:pPr>
    </w:p>
    <w:p w14:paraId="3AB57D49">
      <w:pPr>
        <w:rPr>
          <w:rFonts w:hint="default"/>
          <w:sz w:val="28"/>
          <w:szCs w:val="28"/>
          <w:lang w:val="en-US" w:eastAsia="zh-CN"/>
        </w:rPr>
      </w:pPr>
    </w:p>
    <w:p w14:paraId="449A6A7D">
      <w:pPr>
        <w:rPr>
          <w:rFonts w:hint="default"/>
          <w:sz w:val="28"/>
          <w:szCs w:val="28"/>
          <w:lang w:val="en-US" w:eastAsia="zh-CN"/>
        </w:rPr>
      </w:pPr>
    </w:p>
    <w:p w14:paraId="34A79385">
      <w:pPr>
        <w:rPr>
          <w:rFonts w:hint="default"/>
          <w:sz w:val="28"/>
          <w:szCs w:val="28"/>
          <w:lang w:val="en-US" w:eastAsia="zh-CN"/>
        </w:rPr>
      </w:pPr>
    </w:p>
    <w:p w14:paraId="7EC87864">
      <w:pPr>
        <w:rPr>
          <w:rFonts w:hint="default"/>
          <w:sz w:val="28"/>
          <w:szCs w:val="28"/>
          <w:lang w:val="en-US" w:eastAsia="zh-CN"/>
        </w:rPr>
      </w:pPr>
    </w:p>
    <w:p w14:paraId="45080B3D">
      <w:pPr>
        <w:pStyle w:val="2"/>
        <w:rPr>
          <w:rFonts w:hint="default" w:ascii="Times New Roman" w:hAnsi="Times New Roman" w:cs="Times New Roman"/>
          <w:sz w:val="32"/>
          <w:szCs w:val="32"/>
          <w:highlight w:val="none"/>
        </w:rPr>
      </w:pPr>
      <w:r>
        <w:rPr>
          <w:rFonts w:hint="default" w:ascii="Times New Roman" w:hAnsi="Times New Roman" w:cs="Times New Roman"/>
          <w:sz w:val="32"/>
          <w:szCs w:val="32"/>
          <w:highlight w:val="none"/>
        </w:rPr>
        <w:t xml:space="preserve"> CESI</w:t>
      </w:r>
      <w:r>
        <w:rPr>
          <w:rFonts w:hint="default" w:ascii="Times New Roman" w:hAnsi="Times New Roman" w:cs="Times New Roman"/>
          <w:sz w:val="32"/>
          <w:szCs w:val="32"/>
          <w:highlight w:val="none"/>
          <w:lang w:eastAsia="zh-CN"/>
        </w:rPr>
        <w:t>核查</w:t>
      </w:r>
      <w:r>
        <w:rPr>
          <w:rFonts w:hint="default" w:ascii="Times New Roman" w:hAnsi="Times New Roman" w:cs="Times New Roman"/>
          <w:sz w:val="32"/>
          <w:szCs w:val="32"/>
          <w:highlight w:val="none"/>
        </w:rPr>
        <w:t>业务联系方式</w:t>
      </w:r>
    </w:p>
    <w:tbl>
      <w:tblPr>
        <w:tblStyle w:val="5"/>
        <w:tblW w:w="8833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4960"/>
        <w:gridCol w:w="2105"/>
      </w:tblGrid>
      <w:tr w14:paraId="4B3046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1768" w:type="dxa"/>
            <w:noWrap w:val="0"/>
            <w:vAlign w:val="top"/>
          </w:tcPr>
          <w:p w14:paraId="750F300A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部门</w:t>
            </w:r>
          </w:p>
        </w:tc>
        <w:tc>
          <w:tcPr>
            <w:tcW w:w="4960" w:type="dxa"/>
            <w:noWrap w:val="0"/>
            <w:vAlign w:val="top"/>
          </w:tcPr>
          <w:p w14:paraId="4AE2D96C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工作内容</w:t>
            </w:r>
          </w:p>
        </w:tc>
        <w:tc>
          <w:tcPr>
            <w:tcW w:w="2105" w:type="dxa"/>
            <w:noWrap w:val="0"/>
            <w:vAlign w:val="top"/>
          </w:tcPr>
          <w:p w14:paraId="552AC424">
            <w:pPr>
              <w:spacing w:line="500" w:lineRule="exact"/>
              <w:jc w:val="center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联系电话</w:t>
            </w:r>
          </w:p>
        </w:tc>
      </w:tr>
      <w:tr w14:paraId="2368C8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1768" w:type="dxa"/>
            <w:noWrap w:val="0"/>
            <w:vAlign w:val="top"/>
          </w:tcPr>
          <w:p w14:paraId="2CDE94D2">
            <w:p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客户服务部</w:t>
            </w:r>
          </w:p>
        </w:tc>
        <w:tc>
          <w:tcPr>
            <w:tcW w:w="4960" w:type="dxa"/>
            <w:noWrap w:val="0"/>
            <w:vAlign w:val="top"/>
          </w:tcPr>
          <w:p w14:paraId="42619095">
            <w:pPr>
              <w:numPr>
                <w:ilvl w:val="0"/>
                <w:numId w:val="1"/>
              </w:num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核查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申请受理、合同洽谈；</w:t>
            </w:r>
          </w:p>
          <w:p w14:paraId="42AE9073">
            <w:pPr>
              <w:numPr>
                <w:ilvl w:val="0"/>
                <w:numId w:val="1"/>
              </w:num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核查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后服务、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核查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交费、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核查声明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书制作、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核查声明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书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和核查报告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领取；</w:t>
            </w:r>
          </w:p>
          <w:p w14:paraId="60D6FBA6">
            <w:pPr>
              <w:numPr>
                <w:ilvl w:val="0"/>
                <w:numId w:val="1"/>
              </w:num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申、投诉受理；</w:t>
            </w:r>
          </w:p>
          <w:p w14:paraId="2F8D54A3">
            <w:pPr>
              <w:numPr>
                <w:ilvl w:val="0"/>
                <w:numId w:val="1"/>
              </w:num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核查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陈述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和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标志使用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管理；</w:t>
            </w:r>
          </w:p>
          <w:p w14:paraId="1CE6B8FA">
            <w:pPr>
              <w:numPr>
                <w:ilvl w:val="0"/>
                <w:numId w:val="1"/>
              </w:num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变更受理</w:t>
            </w:r>
          </w:p>
        </w:tc>
        <w:tc>
          <w:tcPr>
            <w:tcW w:w="2105" w:type="dxa"/>
            <w:noWrap w:val="0"/>
            <w:vAlign w:val="top"/>
          </w:tcPr>
          <w:p w14:paraId="27D13A73">
            <w:pPr>
              <w:spacing w:line="500" w:lineRule="exact"/>
              <w:rPr>
                <w:rFonts w:hint="default" w:ascii="Times New Roman" w:hAnsi="Times New Roman" w:eastAsia="宋体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4000719000</w:t>
            </w:r>
          </w:p>
          <w:p w14:paraId="7396E794">
            <w:p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010-64102688</w:t>
            </w:r>
          </w:p>
          <w:p w14:paraId="36BB152C">
            <w:p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010-64102689</w:t>
            </w:r>
          </w:p>
          <w:p w14:paraId="709C9A20">
            <w:p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010-64102699</w:t>
            </w:r>
          </w:p>
        </w:tc>
      </w:tr>
      <w:tr w14:paraId="5F43E53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1768" w:type="dxa"/>
            <w:noWrap w:val="0"/>
            <w:vAlign w:val="top"/>
          </w:tcPr>
          <w:p w14:paraId="4FAFB210">
            <w:p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绿色低碳</w:t>
            </w: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部</w:t>
            </w:r>
          </w:p>
        </w:tc>
        <w:tc>
          <w:tcPr>
            <w:tcW w:w="4960" w:type="dxa"/>
            <w:noWrap w:val="0"/>
            <w:vAlign w:val="top"/>
          </w:tcPr>
          <w:p w14:paraId="76C03932">
            <w:pPr>
              <w:numPr>
                <w:ilvl w:val="0"/>
                <w:numId w:val="1"/>
              </w:numPr>
              <w:spacing w:line="500" w:lineRule="exact"/>
              <w:rPr>
                <w:rFonts w:hint="default" w:ascii="Times New Roman" w:hAnsi="Times New Roman" w:eastAsia="宋体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highlight w:val="none"/>
                <w:lang w:val="en-US" w:eastAsia="zh-CN"/>
              </w:rPr>
              <w:t>策划和实施的</w:t>
            </w:r>
            <w:r>
              <w:rPr>
                <w:rFonts w:hint="default" w:ascii="Times New Roman" w:hAnsi="Times New Roman" w:eastAsia="宋体" w:cs="Times New Roman"/>
                <w:sz w:val="24"/>
                <w:highlight w:val="none"/>
                <w:lang w:eastAsia="zh-CN"/>
              </w:rPr>
              <w:t>安排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；</w:t>
            </w:r>
          </w:p>
          <w:p w14:paraId="36E573C7">
            <w:pPr>
              <w:numPr>
                <w:ilvl w:val="0"/>
                <w:numId w:val="1"/>
              </w:numPr>
              <w:spacing w:line="500" w:lineRule="exact"/>
              <w:rPr>
                <w:rFonts w:hint="default" w:ascii="Times New Roman" w:hAnsi="Times New Roman" w:eastAsia="宋体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highlight w:val="none"/>
                <w:lang w:eastAsia="zh-CN"/>
              </w:rPr>
              <w:t>新业务领域的技术储备；</w:t>
            </w:r>
          </w:p>
          <w:p w14:paraId="7E26FE9A">
            <w:pPr>
              <w:numPr>
                <w:ilvl w:val="0"/>
                <w:numId w:val="1"/>
              </w:numPr>
              <w:spacing w:line="500" w:lineRule="exact"/>
              <w:rPr>
                <w:rFonts w:hint="default" w:ascii="Times New Roman" w:hAnsi="Times New Roman" w:eastAsia="宋体" w:cs="Times New Roman"/>
                <w:sz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highlight w:val="none"/>
                <w:lang w:eastAsia="zh-CN"/>
              </w:rPr>
              <w:t>核查技术支撑</w:t>
            </w:r>
          </w:p>
        </w:tc>
        <w:tc>
          <w:tcPr>
            <w:tcW w:w="2105" w:type="dxa"/>
            <w:noWrap w:val="0"/>
            <w:vAlign w:val="top"/>
          </w:tcPr>
          <w:p w14:paraId="12D8182C">
            <w:pPr>
              <w:spacing w:line="500" w:lineRule="exact"/>
              <w:rPr>
                <w:rFonts w:hint="default" w:ascii="Times New Roman" w:hAnsi="Times New Roman" w:eastAsia="宋体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highlight w:val="none"/>
              </w:rPr>
              <w:t>010-64102</w:t>
            </w:r>
            <w:r>
              <w:rPr>
                <w:rFonts w:hint="default" w:ascii="Times New Roman" w:hAnsi="Times New Roman" w:eastAsia="宋体" w:cs="Times New Roman"/>
                <w:sz w:val="24"/>
                <w:highlight w:val="none"/>
                <w:lang w:val="en-US" w:eastAsia="zh-CN"/>
              </w:rPr>
              <w:t>703</w:t>
            </w:r>
          </w:p>
          <w:p w14:paraId="0DFE9243">
            <w:pPr>
              <w:spacing w:line="500" w:lineRule="exact"/>
              <w:rPr>
                <w:rFonts w:hint="default" w:ascii="Times New Roman" w:hAnsi="Times New Roman" w:eastAsia="宋体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highlight w:val="none"/>
              </w:rPr>
              <w:t>010-64102</w:t>
            </w:r>
            <w:r>
              <w:rPr>
                <w:rFonts w:hint="default" w:ascii="Times New Roman" w:hAnsi="Times New Roman" w:eastAsia="宋体" w:cs="Times New Roman"/>
                <w:sz w:val="24"/>
                <w:highlight w:val="none"/>
                <w:lang w:val="en-US" w:eastAsia="zh-CN"/>
              </w:rPr>
              <w:t>701</w:t>
            </w:r>
          </w:p>
        </w:tc>
      </w:tr>
      <w:tr w14:paraId="44BFBD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8" w:hRule="atLeast"/>
        </w:trPr>
        <w:tc>
          <w:tcPr>
            <w:tcW w:w="1768" w:type="dxa"/>
            <w:noWrap w:val="0"/>
            <w:vAlign w:val="top"/>
          </w:tcPr>
          <w:p w14:paraId="5CC12539">
            <w:p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技术委员会</w:t>
            </w:r>
          </w:p>
        </w:tc>
        <w:tc>
          <w:tcPr>
            <w:tcW w:w="4960" w:type="dxa"/>
            <w:noWrap w:val="0"/>
            <w:vAlign w:val="center"/>
          </w:tcPr>
          <w:p w14:paraId="64736860">
            <w:pPr>
              <w:numPr>
                <w:ilvl w:val="0"/>
                <w:numId w:val="2"/>
              </w:numPr>
              <w:spacing w:line="500" w:lineRule="exact"/>
              <w:rPr>
                <w:rFonts w:hint="default" w:ascii="Times New Roman" w:hAnsi="Times New Roman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  <w:lang w:eastAsia="zh-CN"/>
              </w:rPr>
              <w:t>复核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/决定</w:t>
            </w:r>
          </w:p>
        </w:tc>
        <w:tc>
          <w:tcPr>
            <w:tcW w:w="2105" w:type="dxa"/>
            <w:noWrap w:val="0"/>
            <w:vAlign w:val="center"/>
          </w:tcPr>
          <w:p w14:paraId="7EEAA60A">
            <w:pPr>
              <w:rPr>
                <w:rFonts w:hint="default" w:ascii="Times New Roman" w:hAnsi="Times New Roman" w:eastAsia="宋体" w:cs="Times New Roman"/>
                <w:sz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highlight w:val="none"/>
              </w:rPr>
              <w:t>010-6410269</w:t>
            </w:r>
            <w:r>
              <w:rPr>
                <w:rFonts w:hint="default" w:ascii="Times New Roman" w:hAnsi="Times New Roman" w:cs="Times New Roman"/>
                <w:sz w:val="24"/>
                <w:highlight w:val="none"/>
                <w:lang w:val="en-US" w:eastAsia="zh-CN"/>
              </w:rPr>
              <w:t>2</w:t>
            </w:r>
          </w:p>
        </w:tc>
      </w:tr>
    </w:tbl>
    <w:p w14:paraId="0E77BEF1">
      <w:pPr>
        <w:rPr>
          <w:rFonts w:hint="default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微软雅黑 Light">
    <w:panose1 w:val="020B0502040204020203"/>
    <w:charset w:val="86"/>
    <w:family w:val="auto"/>
    <w:pitch w:val="default"/>
    <w:sig w:usb0="80000287" w:usb1="2ACF0010" w:usb2="00000016" w:usb3="00000000" w:csb0="0004001F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隶书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Bahnschrift SemiBold SemiCondensed">
    <w:panose1 w:val="020B0502040204020203"/>
    <w:charset w:val="00"/>
    <w:family w:val="auto"/>
    <w:pitch w:val="default"/>
    <w:sig w:usb0="A00002C7" w:usb1="00000002" w:usb2="00000000" w:usb3="00000000" w:csb0="200001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70F77">
    <w:pPr>
      <w:pStyle w:val="3"/>
      <w:pBdr>
        <w:top w:val="thinThickSmallGap" w:color="622423" w:sz="24" w:space="1"/>
      </w:pBdr>
      <w:ind w:left="-424" w:leftChars="-202" w:right="-523" w:rightChars="-249" w:firstLine="849" w:firstLineChars="472"/>
      <w:jc w:val="center"/>
    </w:pPr>
    <w:r>
      <w:rPr>
        <w:rStyle w:val="7"/>
        <w:rFonts w:hint="eastAsia"/>
        <w:lang w:val="en-US" w:eastAsia="zh-CN"/>
      </w:rPr>
      <w:t xml:space="preserve">                      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EE36AF">
    <w:pPr>
      <w:pStyle w:val="4"/>
      <w:pBdr>
        <w:bottom w:val="thickThinSmallGap" w:color="622423" w:sz="24" w:space="1"/>
      </w:pBdr>
      <w:tabs>
        <w:tab w:val="clear" w:pos="8306"/>
      </w:tabs>
      <w:ind w:left="-424" w:leftChars="-202" w:right="-523" w:rightChars="-249" w:firstLine="92" w:firstLineChars="44"/>
      <w:jc w:val="right"/>
      <w:rPr>
        <w:rFonts w:ascii="Cambria" w:hAnsi="Cambria"/>
        <w:sz w:val="21"/>
        <w:szCs w:val="21"/>
      </w:rPr>
    </w:pPr>
    <w:r>
      <w:rPr>
        <w:rFonts w:hint="eastAsia"/>
        <w:sz w:val="21"/>
        <w:szCs w:val="21"/>
      </w:rPr>
      <w:pict>
        <v:group id="_x0000_s2050" o:spid="_x0000_s2050" o:spt="203" style="position:absolute;left:0pt;margin-left:-5.55pt;margin-top:-6.15pt;height:29.25pt;width:222.7pt;z-index:251659264;mso-width-relative:page;mso-height-relative:page;" coordorigin="1284,548" coordsize="4454,585">
          <o:lock v:ext="edit"/>
          <v:shape id="_x0000_s2051" o:spid="_x0000_s2051" o:spt="136" type="#_x0000_t136" style="position:absolute;left:1944;top:651;height:340;width:3794;" fillcolor="#000000" filled="t" coordsize="21600,21600">
            <v:path/>
            <v:fill on="t" focussize="0,0"/>
            <v:stroke/>
            <v:imagedata o:title=""/>
            <o:lock v:ext="edit"/>
            <v:textpath on="t" fitshape="t" fitpath="t" trim="t" xscale="f" string="北京赛西认证有限责任公司" style="font-family:黑体;font-size:36pt;v-text-align:center;v-text-spacing:58985f;"/>
          </v:shape>
          <v:shape id="_x0000_s2052" o:spid="_x0000_s2052" o:spt="136" type="#_x0000_t136" style="position:absolute;left:1944;top:1020;height:113;width:3794;" fillcolor="#000000" filled="t" stroked="f" coordsize="21600,21600">
            <v:path/>
            <v:fill on="t" focussize="0,0"/>
            <v:stroke on="f" color="#FFFFFF"/>
            <v:imagedata o:title=""/>
            <o:lock v:ext="edit"/>
            <v:textpath on="t" fitshape="t" fitpath="t" trim="t" xscale="f" string="原中国电子技术标准化研究所认证中心" style="font-family:Arial;font-size:12pt;v-text-align:center;"/>
          </v:shape>
          <v:shape id="图片 11" o:spid="_x0000_s2053" o:spt="75" alt="院新LOGO2016-11-21_标志PNG" type="#_x0000_t75" style="position:absolute;left:1284;top:548;height:585;width:585;" filled="f" stroked="f" coordsize="21600,21600">
            <v:path/>
            <v:fill on="f" focussize="0,0"/>
            <v:stroke on="f"/>
            <v:imagedata r:id="rId1" o:title="院新LOGO2016-11-21_标志PNG"/>
            <o:lock v:ext="edit" aspectratio="t"/>
            <v:textbox style="mso-rotate-with-shape:t;"/>
          </v:shape>
        </v:group>
      </w:pict>
    </w:r>
  </w:p>
  <w:p w14:paraId="7F73531E">
    <w:pPr>
      <w:pStyle w:val="4"/>
      <w:pBdr>
        <w:bottom w:val="thickThinSmallGap" w:color="622423" w:sz="24" w:space="1"/>
      </w:pBdr>
      <w:tabs>
        <w:tab w:val="clear" w:pos="8306"/>
      </w:tabs>
      <w:ind w:left="-424" w:leftChars="-202" w:right="-523" w:rightChars="-249" w:firstLine="92" w:firstLineChars="44"/>
      <w:jc w:val="right"/>
      <w:rPr>
        <w:rFonts w:ascii="Cambria" w:hAnsi="Cambria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460977"/>
    <w:multiLevelType w:val="multilevel"/>
    <w:tmpl w:val="6846097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BA41FB1"/>
    <w:multiLevelType w:val="multilevel"/>
    <w:tmpl w:val="7BA41FB1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523E96"/>
    <w:rsid w:val="6552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120" w:after="120" w:line="360" w:lineRule="auto"/>
      <w:outlineLvl w:val="0"/>
    </w:pPr>
    <w:rPr>
      <w:rFonts w:eastAsia="宋体"/>
      <w:b/>
      <w:bCs/>
      <w:kern w:val="44"/>
      <w:sz w:val="32"/>
      <w:szCs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1"/>
    <customShpInfo spid="_x0000_s2052"/>
    <customShpInfo spid="_x0000_s2053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Office_12.8.2.19315_F1E327BC-269C-435d-A152-05C5408002CA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2026-06-30T06:21:00Z</dcterms:created>
  <dc:creator>蔡北方</dc:creator>
  <cp:lastModifiedBy>蔡北方</cp:lastModifiedBy>
  <dcterms:modified xsi:type="dcterms:W3CDTF">2026-06-30T06:29:19Z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2052-12.8.2.19315</vt:lpwstr>
  </property>
  <property fmtid="{D5CDD505-2E9C-101B-9397-08002B2CF9AE}" pid="3" name="ICV">
    <vt:lpwstr>B28AF583C27D4DC8916D02409CB294EE_11</vt:lpwstr>
  </property>
</Properties>
</file>